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6"/>
          <w:rFonts w:ascii="方正大标宋简体" w:hAnsi="方正大标宋简体" w:eastAsia="方正大标宋简体" w:cs="方正大标宋简体"/>
          <w:b w:val="0"/>
          <w:bCs/>
          <w:sz w:val="44"/>
          <w:szCs w:val="44"/>
        </w:rPr>
      </w:pPr>
      <w:r>
        <w:rPr>
          <w:rStyle w:val="6"/>
          <w:rFonts w:hint="eastAsia" w:ascii="方正大标宋简体" w:hAnsi="方正大标宋简体" w:eastAsia="方正大标宋简体" w:cs="方正大标宋简体"/>
          <w:b w:val="0"/>
          <w:bCs/>
          <w:sz w:val="44"/>
          <w:szCs w:val="44"/>
        </w:rPr>
        <w:t>计算机科学与工程学院</w:t>
      </w:r>
    </w:p>
    <w:p>
      <w:pPr>
        <w:pStyle w:val="2"/>
        <w:widowControl/>
        <w:jc w:val="center"/>
        <w:rPr>
          <w:rStyle w:val="6"/>
          <w:rFonts w:ascii="方正大标宋简体" w:hAnsi="方正大标宋简体" w:eastAsia="方正大标宋简体" w:cs="方正大标宋简体"/>
          <w:b w:val="0"/>
          <w:bCs/>
          <w:sz w:val="44"/>
          <w:szCs w:val="44"/>
        </w:rPr>
      </w:pPr>
      <w:r>
        <w:rPr>
          <w:rStyle w:val="6"/>
          <w:rFonts w:hint="eastAsia" w:ascii="方正大标宋简体" w:hAnsi="方正大标宋简体" w:eastAsia="方正大标宋简体" w:cs="方正大标宋简体"/>
          <w:b w:val="0"/>
          <w:bCs/>
          <w:sz w:val="44"/>
          <w:szCs w:val="44"/>
        </w:rPr>
        <w:t>教学质量保障与提升相关材料</w:t>
      </w:r>
    </w:p>
    <w:p>
      <w:pPr>
        <w:pStyle w:val="2"/>
        <w:widowControl/>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1.教学质量保障制度（学院制订的教学质量保障制度与督导制度）</w:t>
      </w:r>
    </w:p>
    <w:p>
      <w:pPr>
        <w:pStyle w:val="2"/>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我院制定的教学质量保障制度与督导制度和要求见下表。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578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78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80"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计算机科学与工程学院毕业要求达成度评价机制和实施办法</w:t>
            </w:r>
          </w:p>
        </w:tc>
        <w:tc>
          <w:tcPr>
            <w:tcW w:w="1780" w:type="dxa"/>
            <w:vMerge w:val="restart"/>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计算机科学与工程学院本科人才培养方案修订机制与实施办法</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计算机科学与工程学院培养目标合理性与达成度评价机制和实施办法</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计算机科学与工程学院课程目标达成情况评价机制与实施办法</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西北师范大学计算机科学与工程学院研究生助教工作实施办法</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计算机科学与工程学院成</w:t>
            </w:r>
            <w:bookmarkStart w:id="0" w:name="_GoBack"/>
            <w:bookmarkEnd w:id="0"/>
            <w:r>
              <w:rPr>
                <w:rFonts w:ascii="仿宋_GB2312" w:hAnsi="仿宋_GB2312" w:eastAsia="仿宋_GB2312" w:cs="仿宋_GB2312"/>
                <w:sz w:val="28"/>
                <w:szCs w:val="28"/>
              </w:rPr>
              <w:t>绩分析及课程目标达成度报告</w:t>
            </w:r>
            <w:r>
              <w:rPr>
                <w:rFonts w:hint="eastAsia" w:ascii="仿宋_GB2312" w:hAnsi="仿宋_GB2312" w:eastAsia="仿宋_GB2312" w:cs="仿宋_GB2312"/>
                <w:sz w:val="28"/>
                <w:szCs w:val="28"/>
              </w:rPr>
              <w:t>模板</w:t>
            </w:r>
          </w:p>
        </w:tc>
        <w:tc>
          <w:tcPr>
            <w:tcW w:w="1780" w:type="dxa"/>
            <w:vMerge w:val="restart"/>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要求模板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计算机科学与工程学院结课考试试卷命题及审核记录表</w:t>
            </w:r>
            <w:r>
              <w:rPr>
                <w:rFonts w:hint="eastAsia" w:ascii="仿宋_GB2312" w:hAnsi="仿宋_GB2312" w:eastAsia="仿宋_GB2312" w:cs="仿宋_GB2312"/>
                <w:sz w:val="28"/>
                <w:szCs w:val="28"/>
              </w:rPr>
              <w:t>模板</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计算机科学与工程学院试卷模板（闭卷或开卷试题形式)</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计算机科学与工程学院试卷模板（综合设计与报告形式）</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计算机科学与工程学院课程设计</w:t>
            </w:r>
            <w:r>
              <w:rPr>
                <w:rFonts w:hint="eastAsia" w:ascii="仿宋_GB2312" w:hAnsi="仿宋_GB2312" w:eastAsia="仿宋_GB2312" w:cs="仿宋_GB2312"/>
                <w:sz w:val="28"/>
                <w:szCs w:val="28"/>
              </w:rPr>
              <w:t>报告</w:t>
            </w:r>
            <w:r>
              <w:rPr>
                <w:rFonts w:ascii="仿宋_GB2312" w:hAnsi="仿宋_GB2312" w:eastAsia="仿宋_GB2312" w:cs="仿宋_GB2312"/>
                <w:sz w:val="28"/>
                <w:szCs w:val="28"/>
              </w:rPr>
              <w:t>模板</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计算机科学与工程学院实验报告模板</w:t>
            </w:r>
          </w:p>
        </w:tc>
        <w:tc>
          <w:tcPr>
            <w:tcW w:w="1780" w:type="dxa"/>
            <w:vMerge w:val="continue"/>
            <w:vAlign w:val="center"/>
          </w:tcPr>
          <w:p>
            <w:pPr>
              <w:pStyle w:val="2"/>
              <w:widowControl/>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5786" w:type="dxa"/>
            <w:vAlign w:val="center"/>
          </w:tcPr>
          <w:p>
            <w:pPr>
              <w:pStyle w:val="2"/>
              <w:widowControl/>
              <w:rPr>
                <w:rFonts w:ascii="仿宋_GB2312" w:hAnsi="仿宋_GB2312" w:eastAsia="仿宋_GB2312" w:cs="仿宋_GB2312"/>
                <w:sz w:val="28"/>
                <w:szCs w:val="28"/>
              </w:rPr>
            </w:pPr>
            <w:r>
              <w:rPr>
                <w:rFonts w:ascii="仿宋_GB2312" w:hAnsi="仿宋_GB2312" w:eastAsia="仿宋_GB2312" w:cs="仿宋_GB2312"/>
                <w:sz w:val="28"/>
                <w:szCs w:val="28"/>
              </w:rPr>
              <w:t>计算机科学与工程学院研究生助教工作日志</w:t>
            </w:r>
          </w:p>
        </w:tc>
        <w:tc>
          <w:tcPr>
            <w:tcW w:w="1780" w:type="dxa"/>
            <w:vAlign w:val="center"/>
          </w:tcPr>
          <w:p>
            <w:pPr>
              <w:pStyle w:val="2"/>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工作日志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60F53"/>
    <w:rsid w:val="01AE5245"/>
    <w:rsid w:val="01D16E8C"/>
    <w:rsid w:val="01DA5530"/>
    <w:rsid w:val="023967D1"/>
    <w:rsid w:val="035A0C48"/>
    <w:rsid w:val="04862275"/>
    <w:rsid w:val="056F27F0"/>
    <w:rsid w:val="062A5C5D"/>
    <w:rsid w:val="06DE0AE6"/>
    <w:rsid w:val="07C75B91"/>
    <w:rsid w:val="081B12A1"/>
    <w:rsid w:val="083F667A"/>
    <w:rsid w:val="08BF1F41"/>
    <w:rsid w:val="09950F3E"/>
    <w:rsid w:val="0B4E2B71"/>
    <w:rsid w:val="0C8F213B"/>
    <w:rsid w:val="0DF9504D"/>
    <w:rsid w:val="0DFE613E"/>
    <w:rsid w:val="0E187626"/>
    <w:rsid w:val="0E5F2BEB"/>
    <w:rsid w:val="0EE04B81"/>
    <w:rsid w:val="0F1D0E61"/>
    <w:rsid w:val="10F5482F"/>
    <w:rsid w:val="118D6060"/>
    <w:rsid w:val="1241378A"/>
    <w:rsid w:val="12AB31B0"/>
    <w:rsid w:val="139448E5"/>
    <w:rsid w:val="13FC416D"/>
    <w:rsid w:val="145C6453"/>
    <w:rsid w:val="149E3ACF"/>
    <w:rsid w:val="14EB4F63"/>
    <w:rsid w:val="150649FF"/>
    <w:rsid w:val="155565CF"/>
    <w:rsid w:val="15BE4C6E"/>
    <w:rsid w:val="167F7650"/>
    <w:rsid w:val="16AC0F64"/>
    <w:rsid w:val="174B10D0"/>
    <w:rsid w:val="17AE68D0"/>
    <w:rsid w:val="17DC5A45"/>
    <w:rsid w:val="190348A7"/>
    <w:rsid w:val="19407745"/>
    <w:rsid w:val="1A6D595E"/>
    <w:rsid w:val="1A734730"/>
    <w:rsid w:val="1A861A91"/>
    <w:rsid w:val="1B695E7D"/>
    <w:rsid w:val="1BA00208"/>
    <w:rsid w:val="1BF223A8"/>
    <w:rsid w:val="1C41256A"/>
    <w:rsid w:val="1CE85BAA"/>
    <w:rsid w:val="1D590CE0"/>
    <w:rsid w:val="1DD92FA5"/>
    <w:rsid w:val="1E053541"/>
    <w:rsid w:val="1E7B019F"/>
    <w:rsid w:val="1F132838"/>
    <w:rsid w:val="1F9B519B"/>
    <w:rsid w:val="1FE61324"/>
    <w:rsid w:val="20B64111"/>
    <w:rsid w:val="20C21159"/>
    <w:rsid w:val="21B2684D"/>
    <w:rsid w:val="21C74B75"/>
    <w:rsid w:val="220550DE"/>
    <w:rsid w:val="228E587A"/>
    <w:rsid w:val="23223095"/>
    <w:rsid w:val="232707CA"/>
    <w:rsid w:val="233852A6"/>
    <w:rsid w:val="236A2984"/>
    <w:rsid w:val="23C7054D"/>
    <w:rsid w:val="24A13CEA"/>
    <w:rsid w:val="24BD343A"/>
    <w:rsid w:val="24E1739F"/>
    <w:rsid w:val="25533F50"/>
    <w:rsid w:val="26734399"/>
    <w:rsid w:val="26791102"/>
    <w:rsid w:val="27025714"/>
    <w:rsid w:val="27526477"/>
    <w:rsid w:val="27E11F8F"/>
    <w:rsid w:val="281D3EDD"/>
    <w:rsid w:val="28EB6A34"/>
    <w:rsid w:val="28FE0471"/>
    <w:rsid w:val="29172EC0"/>
    <w:rsid w:val="296E05AB"/>
    <w:rsid w:val="299020C9"/>
    <w:rsid w:val="2AA137DA"/>
    <w:rsid w:val="2AAC64E4"/>
    <w:rsid w:val="2B96528D"/>
    <w:rsid w:val="2BA81A59"/>
    <w:rsid w:val="2BE17E66"/>
    <w:rsid w:val="2BEF7887"/>
    <w:rsid w:val="2C5C05ED"/>
    <w:rsid w:val="2D5F4315"/>
    <w:rsid w:val="2D7400F8"/>
    <w:rsid w:val="2E102281"/>
    <w:rsid w:val="2EE8044F"/>
    <w:rsid w:val="30F32FC2"/>
    <w:rsid w:val="324C7E55"/>
    <w:rsid w:val="328D0F81"/>
    <w:rsid w:val="328E009C"/>
    <w:rsid w:val="32C441BD"/>
    <w:rsid w:val="33154141"/>
    <w:rsid w:val="336633DC"/>
    <w:rsid w:val="34F471BD"/>
    <w:rsid w:val="359618C3"/>
    <w:rsid w:val="36D9298C"/>
    <w:rsid w:val="370167B3"/>
    <w:rsid w:val="3ACB094A"/>
    <w:rsid w:val="3C0B4B98"/>
    <w:rsid w:val="3CAB3E6E"/>
    <w:rsid w:val="3D1D234E"/>
    <w:rsid w:val="3E1972EF"/>
    <w:rsid w:val="3E4977D0"/>
    <w:rsid w:val="3EA237C3"/>
    <w:rsid w:val="3EB40D98"/>
    <w:rsid w:val="3EEA4033"/>
    <w:rsid w:val="3F8C25FC"/>
    <w:rsid w:val="3FB46582"/>
    <w:rsid w:val="3FBB0537"/>
    <w:rsid w:val="403B6CE1"/>
    <w:rsid w:val="4084049A"/>
    <w:rsid w:val="40CB68A3"/>
    <w:rsid w:val="421A70B8"/>
    <w:rsid w:val="42396C35"/>
    <w:rsid w:val="43AA6C43"/>
    <w:rsid w:val="44750078"/>
    <w:rsid w:val="4510132B"/>
    <w:rsid w:val="47E343F2"/>
    <w:rsid w:val="480657C9"/>
    <w:rsid w:val="4897049A"/>
    <w:rsid w:val="489C3652"/>
    <w:rsid w:val="48A61954"/>
    <w:rsid w:val="4935293D"/>
    <w:rsid w:val="4B071F9F"/>
    <w:rsid w:val="4B8D742B"/>
    <w:rsid w:val="4BE37349"/>
    <w:rsid w:val="4C1D2B90"/>
    <w:rsid w:val="4D5C05AE"/>
    <w:rsid w:val="4DE9453A"/>
    <w:rsid w:val="4E7F294B"/>
    <w:rsid w:val="4F621903"/>
    <w:rsid w:val="530917FB"/>
    <w:rsid w:val="535B0EFF"/>
    <w:rsid w:val="561C4D10"/>
    <w:rsid w:val="569D1522"/>
    <w:rsid w:val="56A86823"/>
    <w:rsid w:val="57996659"/>
    <w:rsid w:val="57FA236E"/>
    <w:rsid w:val="58AB2391"/>
    <w:rsid w:val="59903AB1"/>
    <w:rsid w:val="5A306651"/>
    <w:rsid w:val="5A443556"/>
    <w:rsid w:val="5B2239B9"/>
    <w:rsid w:val="5BF72C9D"/>
    <w:rsid w:val="5C290BE3"/>
    <w:rsid w:val="5C854EC7"/>
    <w:rsid w:val="5DC21C34"/>
    <w:rsid w:val="5DE91CE4"/>
    <w:rsid w:val="5F3B11D2"/>
    <w:rsid w:val="5F5B29B6"/>
    <w:rsid w:val="5FC50934"/>
    <w:rsid w:val="60CA1576"/>
    <w:rsid w:val="61132967"/>
    <w:rsid w:val="618A7D66"/>
    <w:rsid w:val="63C2722F"/>
    <w:rsid w:val="63E14460"/>
    <w:rsid w:val="64227F8E"/>
    <w:rsid w:val="64255A72"/>
    <w:rsid w:val="645523FC"/>
    <w:rsid w:val="646917CB"/>
    <w:rsid w:val="646D1DA8"/>
    <w:rsid w:val="64CF045B"/>
    <w:rsid w:val="653C6CF7"/>
    <w:rsid w:val="65E00BFB"/>
    <w:rsid w:val="66837109"/>
    <w:rsid w:val="66D761A5"/>
    <w:rsid w:val="670E057F"/>
    <w:rsid w:val="684755C6"/>
    <w:rsid w:val="6966216D"/>
    <w:rsid w:val="6A9816E0"/>
    <w:rsid w:val="6B336E9C"/>
    <w:rsid w:val="6B4F4722"/>
    <w:rsid w:val="6C1469C2"/>
    <w:rsid w:val="6C3E311B"/>
    <w:rsid w:val="6C3F64FC"/>
    <w:rsid w:val="6D72594D"/>
    <w:rsid w:val="6E1015DF"/>
    <w:rsid w:val="6E8722E1"/>
    <w:rsid w:val="6FB45770"/>
    <w:rsid w:val="6FCA01A1"/>
    <w:rsid w:val="6FED164C"/>
    <w:rsid w:val="70023519"/>
    <w:rsid w:val="7016043F"/>
    <w:rsid w:val="71894A38"/>
    <w:rsid w:val="725225D9"/>
    <w:rsid w:val="72DD0FA8"/>
    <w:rsid w:val="72E73EAB"/>
    <w:rsid w:val="73B04B23"/>
    <w:rsid w:val="73EC6600"/>
    <w:rsid w:val="749B3285"/>
    <w:rsid w:val="7569564D"/>
    <w:rsid w:val="761425C7"/>
    <w:rsid w:val="762B5D82"/>
    <w:rsid w:val="7766504B"/>
    <w:rsid w:val="77B26547"/>
    <w:rsid w:val="7816404A"/>
    <w:rsid w:val="78C25A0C"/>
    <w:rsid w:val="79BF6ED1"/>
    <w:rsid w:val="79E72F2B"/>
    <w:rsid w:val="7A860F53"/>
    <w:rsid w:val="7B1A0FFB"/>
    <w:rsid w:val="7B6E0521"/>
    <w:rsid w:val="7BB12A4C"/>
    <w:rsid w:val="7C153BCA"/>
    <w:rsid w:val="7DFD3051"/>
    <w:rsid w:val="7F3A27DF"/>
    <w:rsid w:val="7F672B5E"/>
    <w:rsid w:val="7FEF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jc w:val="left"/>
    </w:pPr>
    <w:rPr>
      <w:rFonts w:ascii="微软雅黑" w:hAnsi="微软雅黑" w:eastAsia="微软雅黑"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2021-12-28T01:34:00Z</dcterms:created>
  <dc:creator>杨红娟</dc:creator>
  <cp:lastModifiedBy>杨红娟</cp:lastModifiedBy>
  <dcterms:modified xsi:type="dcterms:W3CDTF">2021-12-28T01:38:47Z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8C97A8C017C7436AA328DAF5ECB4A757</vt:lpwstr>
  </property>
</Properties>
</file>